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jc w:val="right"/>
        <w:rPr>
          <w:rFonts w:ascii="Caveat" w:cs="Caveat" w:eastAsia="Caveat" w:hAnsi="Caveat"/>
          <w:b w:val="1"/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5481638</wp:posOffset>
            </wp:positionH>
            <wp:positionV relativeFrom="paragraph">
              <wp:posOffset>114300</wp:posOffset>
            </wp:positionV>
            <wp:extent cx="1357313" cy="82185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821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Caveat" w:cs="Caveat" w:eastAsia="Caveat" w:hAnsi="Caveat"/>
          <w:b w:val="1"/>
          <w:sz w:val="60"/>
          <w:szCs w:val="60"/>
        </w:rPr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                Welcome to WBC!                 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b w:val="1"/>
          <w:sz w:val="48"/>
          <w:szCs w:val="48"/>
          <w:rtl w:val="0"/>
        </w:rPr>
        <w:t xml:space="preserve">We are so glad you are here!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b w:val="1"/>
          <w:sz w:val="48"/>
          <w:szCs w:val="48"/>
          <w:rtl w:val="0"/>
        </w:rPr>
        <w:t xml:space="preserve">We just ask that…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you are not feeling well,in any way, please refrain from attending at this time (you can watch online). 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indicate your attendance to the greeter. This will be on record for 2 weeks.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maintain physical distancing (2 meters) from others not within your family/cohort.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have your children under the age of 2yrs stay near you while within the building.</w:t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regularly wash your hands/use hand sanitizer (when entering or exiting the building).</w:t>
      </w:r>
    </w:p>
    <w:p w:rsidR="00000000" w:rsidDel="00000000" w:rsidP="00000000" w:rsidRDefault="00000000" w:rsidRPr="00000000" w14:paraId="0000000F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consider wearing a mask while attending the service (they are available at the Welcome Centre).</w:t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refrain from singing during the service.</w:t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center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Visit in the Big Room with physical distance.</w:t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b w:val="1"/>
          <w:sz w:val="48"/>
          <w:szCs w:val="48"/>
          <w:rtl w:val="0"/>
        </w:rPr>
        <w:t xml:space="preserve">Thank you for joining us and following these heath guidelines so that we honor one another and stay safe.</w:t>
      </w:r>
    </w:p>
    <w:sectPr>
      <w:pgSz w:h="15840" w:w="12240"/>
      <w:pgMar w:bottom="720" w:top="720" w:left="36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